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269" w:rsidRDefault="002C1269" w:rsidP="00D768FD">
      <w:pPr>
        <w:spacing w:after="0" w:line="480" w:lineRule="auto"/>
        <w:contextualSpacing/>
        <w:jc w:val="center"/>
        <w:rPr>
          <w:b/>
        </w:rPr>
      </w:pPr>
    </w:p>
    <w:p w:rsidR="002C1269" w:rsidRDefault="002C1269" w:rsidP="00D768FD">
      <w:pPr>
        <w:spacing w:after="0" w:line="480" w:lineRule="auto"/>
        <w:contextualSpacing/>
        <w:jc w:val="center"/>
        <w:rPr>
          <w:b/>
        </w:rPr>
      </w:pPr>
    </w:p>
    <w:p w:rsidR="002C1269" w:rsidRDefault="002C1269" w:rsidP="00D768FD">
      <w:pPr>
        <w:spacing w:after="0" w:line="480" w:lineRule="auto"/>
        <w:contextualSpacing/>
        <w:jc w:val="center"/>
        <w:rPr>
          <w:b/>
        </w:rPr>
      </w:pPr>
    </w:p>
    <w:p w:rsidR="002C1269" w:rsidRDefault="002C1269" w:rsidP="00D768FD">
      <w:pPr>
        <w:spacing w:after="0" w:line="480" w:lineRule="auto"/>
        <w:contextualSpacing/>
        <w:jc w:val="center"/>
        <w:rPr>
          <w:b/>
        </w:rPr>
      </w:pPr>
    </w:p>
    <w:p w:rsidR="002C1269" w:rsidRDefault="002C1269" w:rsidP="00D768FD">
      <w:pPr>
        <w:spacing w:after="0" w:line="480" w:lineRule="auto"/>
        <w:contextualSpacing/>
        <w:jc w:val="center"/>
        <w:rPr>
          <w:b/>
        </w:rPr>
      </w:pPr>
    </w:p>
    <w:p w:rsidR="002C1269" w:rsidRDefault="002C1269" w:rsidP="00D768FD">
      <w:pPr>
        <w:spacing w:after="0" w:line="480" w:lineRule="auto"/>
        <w:contextualSpacing/>
        <w:jc w:val="center"/>
        <w:rPr>
          <w:b/>
        </w:rPr>
      </w:pPr>
    </w:p>
    <w:p w:rsidR="002C1269" w:rsidRDefault="002C1269" w:rsidP="00D768FD">
      <w:pPr>
        <w:spacing w:after="0" w:line="480" w:lineRule="auto"/>
        <w:contextualSpacing/>
        <w:jc w:val="center"/>
        <w:rPr>
          <w:b/>
        </w:rPr>
      </w:pPr>
    </w:p>
    <w:p w:rsidR="002C1269" w:rsidRPr="00AE50F1" w:rsidRDefault="002C1269" w:rsidP="00D768FD">
      <w:pPr>
        <w:spacing w:after="0" w:line="480" w:lineRule="auto"/>
        <w:contextualSpacing/>
        <w:jc w:val="center"/>
      </w:pPr>
      <w:r w:rsidRPr="00AE50F1">
        <w:t xml:space="preserve">Law </w:t>
      </w:r>
    </w:p>
    <w:p w:rsidR="002C1269" w:rsidRPr="00AE50F1" w:rsidRDefault="002C1269" w:rsidP="00D768FD">
      <w:pPr>
        <w:spacing w:after="0" w:line="480" w:lineRule="auto"/>
        <w:contextualSpacing/>
        <w:jc w:val="center"/>
      </w:pPr>
      <w:r w:rsidRPr="00AE50F1">
        <w:t>Student Name</w:t>
      </w:r>
    </w:p>
    <w:p w:rsidR="002C1269" w:rsidRPr="00AE50F1" w:rsidRDefault="002C1269" w:rsidP="00D768FD">
      <w:pPr>
        <w:spacing w:after="0" w:line="480" w:lineRule="auto"/>
        <w:contextualSpacing/>
        <w:jc w:val="center"/>
      </w:pPr>
      <w:r w:rsidRPr="00AE50F1">
        <w:t>Institution Affiliation</w:t>
      </w:r>
    </w:p>
    <w:p w:rsidR="002C1269" w:rsidRDefault="002C1269" w:rsidP="00D768FD">
      <w:pPr>
        <w:spacing w:after="0" w:line="480" w:lineRule="auto"/>
        <w:contextualSpacing/>
        <w:jc w:val="center"/>
        <w:rPr>
          <w:b/>
        </w:rPr>
      </w:pPr>
      <w:r w:rsidRPr="00AE50F1">
        <w:t>Date</w:t>
      </w:r>
      <w:r>
        <w:rPr>
          <w:b/>
        </w:rPr>
        <w:t xml:space="preserve"> </w:t>
      </w:r>
      <w:r>
        <w:rPr>
          <w:b/>
        </w:rPr>
        <w:br w:type="page"/>
      </w:r>
    </w:p>
    <w:p w:rsidR="00AE50F1" w:rsidRDefault="00AE50F1" w:rsidP="00D768FD">
      <w:pPr>
        <w:spacing w:after="0" w:line="480" w:lineRule="auto"/>
        <w:contextualSpacing/>
        <w:jc w:val="center"/>
        <w:rPr>
          <w:b/>
        </w:rPr>
      </w:pPr>
      <w:r>
        <w:rPr>
          <w:b/>
        </w:rPr>
        <w:lastRenderedPageBreak/>
        <w:t>Law</w:t>
      </w:r>
    </w:p>
    <w:p w:rsidR="006A6057" w:rsidRPr="006A6057" w:rsidRDefault="006A6057" w:rsidP="00D768FD">
      <w:pPr>
        <w:spacing w:after="0" w:line="480" w:lineRule="auto"/>
        <w:contextualSpacing/>
        <w:rPr>
          <w:b/>
        </w:rPr>
      </w:pPr>
      <w:r w:rsidRPr="006A6057">
        <w:rPr>
          <w:b/>
        </w:rPr>
        <w:t>What is law?</w:t>
      </w:r>
    </w:p>
    <w:p w:rsidR="004F28ED" w:rsidRDefault="00550823" w:rsidP="00D768FD">
      <w:pPr>
        <w:spacing w:after="0" w:line="480" w:lineRule="auto"/>
        <w:ind w:firstLine="720"/>
        <w:contextualSpacing/>
      </w:pPr>
      <w:r>
        <w:t xml:space="preserve">By definition, law is </w:t>
      </w:r>
      <w:r w:rsidR="003E0643">
        <w:t>certain institutions like the government in its jurisdiction enforce a system where there are several rules</w:t>
      </w:r>
      <w:r>
        <w:t>. Laws are used in the regulation of behavior within a community ensuring that all individuals adhere to these set of rules for collective harmony and peace</w:t>
      </w:r>
      <w:r w:rsidR="003E0643">
        <w:t xml:space="preserve"> (Hage</w:t>
      </w:r>
      <w:r w:rsidR="003E0643" w:rsidRPr="003E0643">
        <w:t xml:space="preserve"> Walterman</w:t>
      </w:r>
      <w:r w:rsidR="003E0643">
        <w:t xml:space="preserve">n,&amp; Akkermans, </w:t>
      </w:r>
      <w:r w:rsidR="003E0643" w:rsidRPr="003E0643">
        <w:t>2017)</w:t>
      </w:r>
      <w:r>
        <w:t>. In most cases, governments and other higher institutions make these laws for their citizens through collective legislature or single legislature.</w:t>
      </w:r>
    </w:p>
    <w:p w:rsidR="006A6057" w:rsidRPr="006A6057" w:rsidRDefault="006A6057" w:rsidP="00D768FD">
      <w:pPr>
        <w:spacing w:after="0" w:line="480" w:lineRule="auto"/>
        <w:contextualSpacing/>
        <w:rPr>
          <w:b/>
        </w:rPr>
      </w:pPr>
      <w:r w:rsidRPr="006A6057">
        <w:rPr>
          <w:b/>
        </w:rPr>
        <w:t>Bodies of law</w:t>
      </w:r>
    </w:p>
    <w:p w:rsidR="00550823" w:rsidRDefault="00550823" w:rsidP="00D768FD">
      <w:pPr>
        <w:spacing w:after="0" w:line="480" w:lineRule="auto"/>
        <w:ind w:firstLine="720"/>
        <w:contextualSpacing/>
      </w:pPr>
      <w:r>
        <w:t xml:space="preserve">Law itself comprised of four bodies or rather 4 distinctions and these include civil law, criminal law, common </w:t>
      </w:r>
      <w:r w:rsidR="00C76399">
        <w:t>law,</w:t>
      </w:r>
      <w:r>
        <w:t xml:space="preserve"> and statute law.</w:t>
      </w:r>
      <w:r w:rsidR="00AE50F1">
        <w:t xml:space="preserve"> </w:t>
      </w:r>
      <w:r w:rsidR="00C76399">
        <w:t>Civil law</w:t>
      </w:r>
      <w:r>
        <w:t xml:space="preserve"> as a body of laws is often confused with criminal law but the distinction </w:t>
      </w:r>
      <w:r w:rsidR="00C76399">
        <w:t>between</w:t>
      </w:r>
      <w:r>
        <w:t xml:space="preserve"> he two is that civil law is used in the settling of disagreements between people or rather parties</w:t>
      </w:r>
      <w:r w:rsidR="003E0643">
        <w:t xml:space="preserve"> (Hage</w:t>
      </w:r>
      <w:r w:rsidR="00AE50F1">
        <w:t>,</w:t>
      </w:r>
      <w:r w:rsidR="003E0643" w:rsidRPr="003E0643">
        <w:t xml:space="preserve"> Walterman</w:t>
      </w:r>
      <w:r w:rsidR="003E0643">
        <w:t xml:space="preserve">n,&amp; Akkermans, </w:t>
      </w:r>
      <w:r w:rsidR="003E0643" w:rsidRPr="003E0643">
        <w:t>2017)</w:t>
      </w:r>
      <w:r>
        <w:t>. In other words, civil law is a body of law that is dedicated to protecting the private rights of citizens within a certain jurisdiction through offering of remedies arising from these disputes</w:t>
      </w:r>
      <w:r w:rsidR="00A2076E">
        <w:t xml:space="preserve"> covering several areas such as law of contract, law of tort, property law and family law. Civil law is derived from the ancient </w:t>
      </w:r>
      <w:r w:rsidR="00C76399">
        <w:t>Rome, which</w:t>
      </w:r>
      <w:r w:rsidR="00A2076E">
        <w:t xml:space="preserve"> employed several codes for determining how legal issues were to be decided.</w:t>
      </w:r>
    </w:p>
    <w:p w:rsidR="00A2076E" w:rsidRPr="00C76399" w:rsidRDefault="00A2076E" w:rsidP="00D768FD">
      <w:pPr>
        <w:spacing w:after="0" w:line="480" w:lineRule="auto"/>
        <w:contextualSpacing/>
        <w:rPr>
          <w:b/>
        </w:rPr>
      </w:pPr>
      <w:r w:rsidRPr="00C76399">
        <w:rPr>
          <w:b/>
        </w:rPr>
        <w:t xml:space="preserve">Criminal </w:t>
      </w:r>
      <w:r w:rsidR="00C76399" w:rsidRPr="00C76399">
        <w:rPr>
          <w:b/>
        </w:rPr>
        <w:t>Law</w:t>
      </w:r>
    </w:p>
    <w:p w:rsidR="00A2076E" w:rsidRDefault="00A2076E" w:rsidP="00D768FD">
      <w:pPr>
        <w:spacing w:after="0" w:line="480" w:lineRule="auto"/>
        <w:ind w:firstLine="720"/>
        <w:contextualSpacing/>
      </w:pPr>
      <w:r>
        <w:t xml:space="preserve">This is a body of law that draws a relationship with criminal </w:t>
      </w:r>
      <w:r w:rsidR="00C76399">
        <w:t>activities</w:t>
      </w:r>
      <w:r>
        <w:t xml:space="preserve">. Criminal law determines which actions of behavioral acts in the society are criminal in nature and the prescribes a punishment for these </w:t>
      </w:r>
      <w:r w:rsidR="00C76399">
        <w:t>activities</w:t>
      </w:r>
      <w:r>
        <w:t xml:space="preserve"> such that when a person engages in these criminal behaviors, they are punished according to the penal codes in place</w:t>
      </w:r>
      <w:r w:rsidR="003E0643">
        <w:t xml:space="preserve"> (Hage</w:t>
      </w:r>
      <w:r w:rsidR="003E0643" w:rsidRPr="003E0643">
        <w:t xml:space="preserve"> Walterman</w:t>
      </w:r>
      <w:r w:rsidR="003E0643">
        <w:t xml:space="preserve">n,&amp; Akkermans, </w:t>
      </w:r>
      <w:r w:rsidR="003E0643" w:rsidRPr="003E0643">
        <w:t>2017)</w:t>
      </w:r>
      <w:r>
        <w:t xml:space="preserve">. </w:t>
      </w:r>
      <w:r w:rsidR="00C76399">
        <w:t>For</w:t>
      </w:r>
      <w:r>
        <w:t xml:space="preserve"> example, stealing is a criminal offence and based on a jurisdiction, a </w:t>
      </w:r>
      <w:r>
        <w:lastRenderedPageBreak/>
        <w:t xml:space="preserve">thief would </w:t>
      </w:r>
      <w:r w:rsidR="00C76399">
        <w:t>be fined, imprisoned or both sentences given to him depending on the weight of his case and how severe his /her</w:t>
      </w:r>
      <w:r>
        <w:t xml:space="preserve"> actions were. Criminal law is common in the modern world.</w:t>
      </w:r>
    </w:p>
    <w:p w:rsidR="00C76399" w:rsidRPr="00C76399" w:rsidRDefault="00C76399" w:rsidP="00D768FD">
      <w:pPr>
        <w:spacing w:after="0" w:line="480" w:lineRule="auto"/>
        <w:contextualSpacing/>
        <w:rPr>
          <w:b/>
        </w:rPr>
      </w:pPr>
      <w:r>
        <w:rPr>
          <w:b/>
        </w:rPr>
        <w:t>Common Law</w:t>
      </w:r>
    </w:p>
    <w:p w:rsidR="00A2076E" w:rsidRDefault="00A2076E" w:rsidP="00D768FD">
      <w:pPr>
        <w:spacing w:after="0" w:line="480" w:lineRule="auto"/>
        <w:ind w:firstLine="720"/>
        <w:contextualSpacing/>
      </w:pPr>
      <w:r>
        <w:t xml:space="preserve">Common law is a body of laws specifically customary law that is based on decisions following court proceedings in common law courts of England since the </w:t>
      </w:r>
      <w:r w:rsidR="00C76399">
        <w:t>Middle Ages</w:t>
      </w:r>
      <w:r w:rsidR="003E0643">
        <w:t xml:space="preserve"> (Hage</w:t>
      </w:r>
      <w:r w:rsidR="003E0643" w:rsidRPr="003E0643">
        <w:t xml:space="preserve"> Walterman</w:t>
      </w:r>
      <w:r w:rsidR="003E0643">
        <w:t xml:space="preserve">n,&amp; Akkermans, </w:t>
      </w:r>
      <w:r w:rsidR="003E0643" w:rsidRPr="003E0643">
        <w:t>2017)</w:t>
      </w:r>
      <w:r>
        <w:t xml:space="preserve">. In other words, this body of law comes up with laws following judge </w:t>
      </w:r>
      <w:r w:rsidR="00C76399">
        <w:t>decisions</w:t>
      </w:r>
      <w:r>
        <w:t xml:space="preserve"> on certain cases that later are adapted as law in the jurisdiction in place.</w:t>
      </w:r>
    </w:p>
    <w:p w:rsidR="00C76399" w:rsidRPr="00C76399" w:rsidRDefault="00C76399" w:rsidP="00D768FD">
      <w:pPr>
        <w:spacing w:after="0" w:line="480" w:lineRule="auto"/>
        <w:contextualSpacing/>
        <w:rPr>
          <w:b/>
        </w:rPr>
      </w:pPr>
      <w:r>
        <w:rPr>
          <w:b/>
        </w:rPr>
        <w:t>Statute Law</w:t>
      </w:r>
    </w:p>
    <w:p w:rsidR="00A2076E" w:rsidRDefault="00A2076E" w:rsidP="00D768FD">
      <w:pPr>
        <w:spacing w:after="0" w:line="480" w:lineRule="auto"/>
        <w:ind w:firstLine="720"/>
        <w:contextualSpacing/>
      </w:pPr>
      <w:r>
        <w:t xml:space="preserve">Statute law is a body of law that constitutes of </w:t>
      </w:r>
      <w:r w:rsidR="00C76399">
        <w:t>formal</w:t>
      </w:r>
      <w:r>
        <w:t xml:space="preserve"> written law often enactments of legislative </w:t>
      </w:r>
      <w:r w:rsidR="00C76399">
        <w:t>authorities, which</w:t>
      </w:r>
      <w:r>
        <w:t xml:space="preserve"> control the legal </w:t>
      </w:r>
      <w:r w:rsidR="00C76399">
        <w:t>entities</w:t>
      </w:r>
      <w:r>
        <w:t xml:space="preserve"> of a city, state, country through consent. Like for instance, the senate can convene and decide that </w:t>
      </w:r>
      <w:r w:rsidR="00C76399">
        <w:t>it is illegal</w:t>
      </w:r>
      <w:r>
        <w:t xml:space="preserve"> to conduct some activities and develop a statute that has penalties for the same</w:t>
      </w:r>
      <w:r w:rsidR="003E0643">
        <w:t xml:space="preserve"> (Hage</w:t>
      </w:r>
      <w:r w:rsidR="003E0643" w:rsidRPr="003E0643">
        <w:t xml:space="preserve"> Walterman</w:t>
      </w:r>
      <w:r w:rsidR="003E0643">
        <w:t xml:space="preserve">n,&amp; Akkermans, </w:t>
      </w:r>
      <w:r w:rsidR="003E0643" w:rsidRPr="003E0643">
        <w:t>2017)</w:t>
      </w:r>
      <w:r>
        <w:t>. This would be a statute law.</w:t>
      </w:r>
      <w:r w:rsidR="006A6057">
        <w:t xml:space="preserve"> What differentiates statute law from common law is that </w:t>
      </w:r>
      <w:r w:rsidR="00C76399">
        <w:t>legislative bodies make statute laws</w:t>
      </w:r>
      <w:r w:rsidR="006A6057">
        <w:t xml:space="preserve"> while common law is by court proceedings.</w:t>
      </w:r>
    </w:p>
    <w:p w:rsidR="006A6057" w:rsidRPr="004C7E92" w:rsidRDefault="006A6057" w:rsidP="00D768FD">
      <w:pPr>
        <w:spacing w:after="0" w:line="480" w:lineRule="auto"/>
        <w:contextualSpacing/>
        <w:rPr>
          <w:b/>
        </w:rPr>
      </w:pPr>
      <w:r w:rsidRPr="004C7E92">
        <w:rPr>
          <w:b/>
        </w:rPr>
        <w:t xml:space="preserve">The </w:t>
      </w:r>
      <w:r w:rsidR="00AE50F1" w:rsidRPr="004C7E92">
        <w:rPr>
          <w:b/>
        </w:rPr>
        <w:t>Difference Between Precedents, Stare Decisis And Binding Authority</w:t>
      </w:r>
    </w:p>
    <w:p w:rsidR="006A6057" w:rsidRDefault="006A6057" w:rsidP="00D768FD">
      <w:pPr>
        <w:spacing w:after="0" w:line="480" w:lineRule="auto"/>
        <w:contextualSpacing/>
      </w:pPr>
      <w:r>
        <w:t xml:space="preserve">Stare decisis is </w:t>
      </w:r>
      <w:r w:rsidR="00C76399">
        <w:t>defined</w:t>
      </w:r>
      <w:r>
        <w:t xml:space="preserve"> as </w:t>
      </w:r>
      <w:r w:rsidR="00C76399">
        <w:t>doctrine, or</w:t>
      </w:r>
      <w:r>
        <w:t xml:space="preserve"> rather an instruction that most of the courts use in their court proceedings that involve all legal issues. In this, the courts draw inferences from past cases and similar situations in their decision making process before they rule of a sentence to the defendant</w:t>
      </w:r>
      <w:r w:rsidR="003E0643">
        <w:t xml:space="preserve"> (Barrett, </w:t>
      </w:r>
      <w:r w:rsidR="003E0643" w:rsidRPr="003E0643">
        <w:t>2016)</w:t>
      </w:r>
      <w:r>
        <w:t xml:space="preserve">. This is where precedent comes in. precedent is therefore a rule or </w:t>
      </w:r>
      <w:r w:rsidR="00C76399">
        <w:t>principle (</w:t>
      </w:r>
      <w:r>
        <w:t xml:space="preserve">legal) that is often created by a court. This decision made would later serve as an example for judges among other authoritative figures when faced with a similar situation. </w:t>
      </w:r>
      <w:r w:rsidR="00C76399">
        <w:t>State decisis require</w:t>
      </w:r>
      <w:r>
        <w:t xml:space="preserve"> judges to </w:t>
      </w:r>
      <w:r w:rsidR="00C76399">
        <w:t>refer</w:t>
      </w:r>
      <w:r>
        <w:t xml:space="preserve"> to precedent when making decisions</w:t>
      </w:r>
      <w:r w:rsidR="003E0643">
        <w:t xml:space="preserve"> (Barrett, </w:t>
      </w:r>
      <w:r w:rsidR="003E0643" w:rsidRPr="003E0643">
        <w:t>2016)</w:t>
      </w:r>
      <w:r>
        <w:t>.</w:t>
      </w:r>
      <w:r w:rsidR="003E0643">
        <w:t xml:space="preserve"> </w:t>
      </w:r>
      <w:r>
        <w:t xml:space="preserve">Binding </w:t>
      </w:r>
      <w:r>
        <w:lastRenderedPageBreak/>
        <w:t xml:space="preserve">authority on the other hand is the </w:t>
      </w:r>
      <w:r w:rsidR="00C76399">
        <w:t>source</w:t>
      </w:r>
      <w:r>
        <w:t xml:space="preserve"> of law that a judge must assess when making a decision. </w:t>
      </w:r>
      <w:r w:rsidR="004C7E92">
        <w:t xml:space="preserve">Precedents can be used as sources of law (binding </w:t>
      </w:r>
      <w:r w:rsidR="00C76399">
        <w:t>authorities</w:t>
      </w:r>
      <w:r w:rsidR="004C7E92">
        <w:t>) that judges may use when making decisions in a certain case that has similar characteristics</w:t>
      </w:r>
    </w:p>
    <w:p w:rsidR="003E0643" w:rsidRDefault="004C7E92" w:rsidP="00D768FD">
      <w:pPr>
        <w:spacing w:after="0" w:line="480" w:lineRule="auto"/>
        <w:ind w:firstLine="720"/>
        <w:contextualSpacing/>
      </w:pPr>
      <w:r>
        <w:t xml:space="preserve">In the case of </w:t>
      </w:r>
      <w:r w:rsidR="002E0894">
        <w:t>Gibbons v. Ogden</w:t>
      </w:r>
      <w:r w:rsidR="001D77B3">
        <w:t xml:space="preserve"> (</w:t>
      </w:r>
      <w:r w:rsidR="001D77B3" w:rsidRPr="003E0643">
        <w:t>Ottern</w:t>
      </w:r>
      <w:r w:rsidR="001D77B3">
        <w:t>ess, Struve, Trommler</w:t>
      </w:r>
      <w:r w:rsidR="00AE50F1">
        <w:t>,</w:t>
      </w:r>
      <w:r w:rsidR="001D77B3" w:rsidRPr="003E0643">
        <w:t xml:space="preserve"> McVeig</w:t>
      </w:r>
      <w:r w:rsidR="001D77B3">
        <w:t xml:space="preserve">h, &amp; Shore, </w:t>
      </w:r>
      <w:r w:rsidR="001D77B3" w:rsidRPr="003E0643">
        <w:t>2015)</w:t>
      </w:r>
      <w:r w:rsidR="002E0894">
        <w:t xml:space="preserve">, the court redefined and expanded the laws of congress vastly </w:t>
      </w:r>
      <w:r w:rsidR="00C76399">
        <w:t>and</w:t>
      </w:r>
      <w:r w:rsidR="002E0894">
        <w:t xml:space="preserve"> the federal </w:t>
      </w:r>
      <w:r w:rsidR="00C76399">
        <w:t>government</w:t>
      </w:r>
      <w:r w:rsidR="002E0894">
        <w:t xml:space="preserve">. Following the rulings of this case, congress had the ability to be in control of </w:t>
      </w:r>
      <w:r w:rsidR="00C76399">
        <w:t>commercial</w:t>
      </w:r>
      <w:r w:rsidR="002E0894">
        <w:t xml:space="preserve"> activity. This was after Ogden feeling betrayed by Gibbons when he started his own route for steamships after they bought a franchise together. Another similar case is the New </w:t>
      </w:r>
      <w:r w:rsidR="00C76399">
        <w:t>South Wales</w:t>
      </w:r>
      <w:r w:rsidR="002E0894">
        <w:t xml:space="preserve"> V </w:t>
      </w:r>
      <w:r w:rsidR="00C76399">
        <w:t>commonwealth, which</w:t>
      </w:r>
      <w:r w:rsidR="002E0894">
        <w:t xml:space="preserve"> alternatively is </w:t>
      </w:r>
      <w:r w:rsidR="00C76399">
        <w:t>known,</w:t>
      </w:r>
      <w:r w:rsidR="002E0894">
        <w:t xml:space="preserve"> as the wheat </w:t>
      </w:r>
      <w:r w:rsidR="00C76399">
        <w:t>case</w:t>
      </w:r>
      <w:r w:rsidR="002E0894">
        <w:t xml:space="preserve"> was a case of the century since this case lead to freedom of interstate trade and commerce. The high court in this established that insulation judicial power is a crucial principle of the constitution saying that all wheat didn’t contravene the freedom of interstate trade as per section 92 of the constitution.</w:t>
      </w:r>
    </w:p>
    <w:p w:rsidR="002E0894" w:rsidRDefault="002E0894" w:rsidP="00D768FD">
      <w:pPr>
        <w:spacing w:after="0" w:line="480" w:lineRule="auto"/>
        <w:ind w:firstLine="720"/>
        <w:contextualSpacing/>
      </w:pPr>
      <w:r>
        <w:t xml:space="preserve">From these cases, we see that there are some contradictory facts about them that </w:t>
      </w:r>
      <w:r w:rsidR="00C76399">
        <w:t>make</w:t>
      </w:r>
      <w:r>
        <w:t xml:space="preserve"> it </w:t>
      </w:r>
      <w:r w:rsidR="00C76399">
        <w:t>impossible</w:t>
      </w:r>
      <w:r>
        <w:t xml:space="preserve"> for the judges to come up with a ruling based on the laws already set in place. </w:t>
      </w:r>
      <w:r w:rsidR="00C76399">
        <w:t>All</w:t>
      </w:r>
      <w:r>
        <w:t xml:space="preserve"> these cases required judges to have a sit </w:t>
      </w:r>
      <w:r w:rsidR="00C76399">
        <w:t>down, think through the facts of the case,</w:t>
      </w:r>
      <w:r>
        <w:t xml:space="preserve"> and ensure that their rulings wouldn’t inconvenience any of the parties present. In </w:t>
      </w:r>
      <w:r w:rsidR="00C11EE8">
        <w:t>the Wheat case,</w:t>
      </w:r>
      <w:r>
        <w:t xml:space="preserve"> the court established </w:t>
      </w:r>
      <w:r w:rsidR="003E0643">
        <w:t>that the</w:t>
      </w:r>
      <w:r w:rsidR="00C11EE8">
        <w:t xml:space="preserve"> interstate was just a mere function of the executive function of the government and did not have the </w:t>
      </w:r>
      <w:r w:rsidR="003E0643">
        <w:t>jurisdiction</w:t>
      </w:r>
      <w:r w:rsidR="00C11EE8">
        <w:t xml:space="preserve"> of </w:t>
      </w:r>
      <w:r w:rsidR="003E0643">
        <w:t>exercising</w:t>
      </w:r>
      <w:r w:rsidR="00C11EE8">
        <w:t xml:space="preserve"> judicial power over any party. In addition, all these cases base their facts on the constitution of the </w:t>
      </w:r>
      <w:r w:rsidR="003E0643">
        <w:t>government</w:t>
      </w:r>
      <w:r w:rsidR="00C11EE8">
        <w:t xml:space="preserve">, clearly drawing lines of distinctions about the decisions made. Like for instance in the Gibbons </w:t>
      </w:r>
      <w:r w:rsidR="003E0643">
        <w:t>v,</w:t>
      </w:r>
      <w:r w:rsidR="00C11EE8">
        <w:t xml:space="preserve"> </w:t>
      </w:r>
      <w:r w:rsidR="003E0643">
        <w:t>Ogden</w:t>
      </w:r>
      <w:r w:rsidR="00C11EE8">
        <w:t xml:space="preserve"> case</w:t>
      </w:r>
      <w:r w:rsidR="001D77B3">
        <w:t xml:space="preserve"> (</w:t>
      </w:r>
      <w:r w:rsidR="001D77B3" w:rsidRPr="003E0643">
        <w:t>Ottern</w:t>
      </w:r>
      <w:r w:rsidR="001D77B3">
        <w:t>ess, Struve, Trommler</w:t>
      </w:r>
      <w:r w:rsidR="001D77B3" w:rsidRPr="003E0643">
        <w:t>, McVeig</w:t>
      </w:r>
      <w:r w:rsidR="001D77B3">
        <w:t xml:space="preserve">h, &amp; Shore, </w:t>
      </w:r>
      <w:r w:rsidR="001D77B3" w:rsidRPr="003E0643">
        <w:t>2015)</w:t>
      </w:r>
      <w:r w:rsidR="00C11EE8">
        <w:t xml:space="preserve"> where the court established that the congress had power to meddle with commerce and hence, gibbons who had got a federal </w:t>
      </w:r>
      <w:r w:rsidR="003E0643">
        <w:t>license</w:t>
      </w:r>
      <w:r w:rsidR="00C11EE8">
        <w:t xml:space="preserve"> </w:t>
      </w:r>
      <w:r w:rsidR="00C11EE8">
        <w:lastRenderedPageBreak/>
        <w:t>to operate his business was playing by the rules of the constitution and Ogden had no right or claim over his business that was separate.</w:t>
      </w:r>
    </w:p>
    <w:p w:rsidR="00C11EE8" w:rsidRDefault="00C11EE8" w:rsidP="00D768FD">
      <w:pPr>
        <w:spacing w:after="0" w:line="480" w:lineRule="auto"/>
        <w:contextualSpacing/>
        <w:rPr>
          <w:b/>
        </w:rPr>
      </w:pPr>
      <w:r w:rsidRPr="00C11EE8">
        <w:rPr>
          <w:b/>
        </w:rPr>
        <w:t>The bill of rights</w:t>
      </w:r>
    </w:p>
    <w:p w:rsidR="00C11EE8" w:rsidRPr="00C76399" w:rsidRDefault="00C11EE8" w:rsidP="00D768FD">
      <w:pPr>
        <w:spacing w:after="0" w:line="480" w:lineRule="auto"/>
        <w:ind w:firstLine="720"/>
        <w:contextualSpacing/>
      </w:pPr>
      <w:r w:rsidRPr="00C76399">
        <w:t xml:space="preserve">This refers to the first amendments to the constitution of </w:t>
      </w:r>
      <w:r w:rsidR="003E0643" w:rsidRPr="00C76399">
        <w:t>United States</w:t>
      </w:r>
      <w:r w:rsidRPr="00C76399">
        <w:t xml:space="preserve">. This bill of rights can add some rights and freedoms of </w:t>
      </w:r>
      <w:r w:rsidR="00C76399" w:rsidRPr="00C76399">
        <w:t xml:space="preserve">citizens to the constitution, give clear </w:t>
      </w:r>
      <w:r w:rsidR="003E0643" w:rsidRPr="00C76399">
        <w:t>directives</w:t>
      </w:r>
      <w:r w:rsidR="00C76399" w:rsidRPr="00C76399">
        <w:t xml:space="preserve"> on the powers of the government in proceedings of the judiciary and that all powers not specific to the U.S congress can be imposed on by the state or the people</w:t>
      </w:r>
      <w:r w:rsidR="003E0643">
        <w:t xml:space="preserve"> (Siegan 2018)</w:t>
      </w:r>
      <w:r w:rsidR="00C76399" w:rsidRPr="00C76399">
        <w:t>. The bill of rights spiked up a bitter debate in 1787-88</w:t>
      </w:r>
      <w:r w:rsidR="003E0643" w:rsidRPr="00C76399">
        <w:t xml:space="preserve">. </w:t>
      </w:r>
      <w:r w:rsidR="00C76399" w:rsidRPr="00C76399">
        <w:t xml:space="preserve">There were </w:t>
      </w:r>
      <w:r w:rsidR="003E0643" w:rsidRPr="00C76399">
        <w:t>ten</w:t>
      </w:r>
      <w:r w:rsidR="00C76399" w:rsidRPr="00C76399">
        <w:t xml:space="preserve"> </w:t>
      </w:r>
      <w:r w:rsidR="003E0643" w:rsidRPr="00C76399">
        <w:t>amendments</w:t>
      </w:r>
      <w:r w:rsidR="00C76399" w:rsidRPr="00C76399">
        <w:t xml:space="preserve"> to the bill of rights that were made to the constitution</w:t>
      </w: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3E0643" w:rsidRDefault="003E0643" w:rsidP="00D768FD">
      <w:pPr>
        <w:spacing w:after="0" w:line="480" w:lineRule="auto"/>
        <w:contextualSpacing/>
        <w:jc w:val="center"/>
        <w:rPr>
          <w:b/>
        </w:rPr>
      </w:pPr>
    </w:p>
    <w:p w:rsidR="00D768FD" w:rsidRDefault="00D768FD">
      <w:r>
        <w:br w:type="page"/>
      </w:r>
    </w:p>
    <w:p w:rsidR="00C76399" w:rsidRPr="00AE50F1" w:rsidRDefault="00C76399" w:rsidP="00D768FD">
      <w:pPr>
        <w:spacing w:after="0" w:line="480" w:lineRule="auto"/>
        <w:contextualSpacing/>
        <w:jc w:val="center"/>
      </w:pPr>
      <w:bookmarkStart w:id="0" w:name="_GoBack"/>
      <w:bookmarkEnd w:id="0"/>
      <w:r w:rsidRPr="00AE50F1">
        <w:lastRenderedPageBreak/>
        <w:t>References</w:t>
      </w:r>
    </w:p>
    <w:p w:rsidR="003E0643" w:rsidRDefault="003E0643" w:rsidP="00D768FD">
      <w:pPr>
        <w:spacing w:after="0" w:line="480" w:lineRule="auto"/>
        <w:contextualSpacing/>
      </w:pPr>
      <w:r w:rsidRPr="003E0643">
        <w:t>Barrett, A. C. (2016). Originalism and Stare Decisis. Notre Dame L. Rev., 92, 1921.</w:t>
      </w:r>
    </w:p>
    <w:p w:rsidR="003E0643" w:rsidRDefault="003E0643" w:rsidP="00D768FD">
      <w:pPr>
        <w:spacing w:after="0" w:line="480" w:lineRule="auto"/>
        <w:contextualSpacing/>
      </w:pPr>
      <w:r w:rsidRPr="003E0643">
        <w:t>Hage, J., Waltermann, A., &amp; Akkermans, B. (Eds.). (2017). Introduction to law. Springer.</w:t>
      </w:r>
    </w:p>
    <w:p w:rsidR="003E0643" w:rsidRDefault="003E0643" w:rsidP="00D768FD">
      <w:pPr>
        <w:spacing w:after="0" w:line="480" w:lineRule="auto"/>
        <w:contextualSpacing/>
      </w:pPr>
      <w:r w:rsidRPr="003E0643">
        <w:t xml:space="preserve">Otterness, P., Struve, W., Trommler, F., McVeigh, J., &amp; Shore, E. (2015). Gibbons v. Ogden. </w:t>
      </w:r>
      <w:r w:rsidR="00AE50F1">
        <w:tab/>
      </w:r>
      <w:r w:rsidRPr="003E0643">
        <w:t xml:space="preserve">The Early Republic and Antebellum America: An Encyclopedia of Social, Political, </w:t>
      </w:r>
      <w:r w:rsidR="00AE50F1">
        <w:tab/>
      </w:r>
      <w:r w:rsidR="00AE50F1">
        <w:tab/>
      </w:r>
      <w:r w:rsidRPr="003E0643">
        <w:t>Cultural, and Economic History, 438.</w:t>
      </w:r>
    </w:p>
    <w:p w:rsidR="003E0643" w:rsidRDefault="003E0643" w:rsidP="00D768FD">
      <w:pPr>
        <w:spacing w:after="0" w:line="480" w:lineRule="auto"/>
        <w:contextualSpacing/>
      </w:pPr>
      <w:r w:rsidRPr="003E0643">
        <w:t xml:space="preserve">Siegan, B. (2018). Property Rights: From Magna Carta to the Fourteenth Amendment. </w:t>
      </w:r>
      <w:r w:rsidR="00AE50F1">
        <w:tab/>
      </w:r>
      <w:r w:rsidRPr="003E0643">
        <w:t>Routledge.</w:t>
      </w:r>
    </w:p>
    <w:p w:rsidR="003E0643" w:rsidRPr="003E0643" w:rsidRDefault="003E0643" w:rsidP="00D768FD">
      <w:pPr>
        <w:spacing w:after="0" w:line="480" w:lineRule="auto"/>
        <w:contextualSpacing/>
      </w:pPr>
    </w:p>
    <w:sectPr w:rsidR="003E0643" w:rsidRPr="003E0643" w:rsidSect="002C12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494" w:rsidRDefault="003E7494" w:rsidP="002C1269">
      <w:pPr>
        <w:spacing w:after="0" w:line="240" w:lineRule="auto"/>
      </w:pPr>
      <w:r>
        <w:separator/>
      </w:r>
    </w:p>
  </w:endnote>
  <w:endnote w:type="continuationSeparator" w:id="0">
    <w:p w:rsidR="003E7494" w:rsidRDefault="003E7494" w:rsidP="002C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494" w:rsidRDefault="003E7494" w:rsidP="002C1269">
      <w:pPr>
        <w:spacing w:after="0" w:line="240" w:lineRule="auto"/>
      </w:pPr>
      <w:r>
        <w:separator/>
      </w:r>
    </w:p>
  </w:footnote>
  <w:footnote w:type="continuationSeparator" w:id="0">
    <w:p w:rsidR="003E7494" w:rsidRDefault="003E7494" w:rsidP="002C1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269" w:rsidRDefault="00AE50F1">
    <w:pPr>
      <w:pStyle w:val="Header"/>
      <w:jc w:val="right"/>
    </w:pPr>
    <w:r>
      <w:t>LAW</w:t>
    </w:r>
    <w:r w:rsidR="002C1269">
      <w:tab/>
    </w:r>
    <w:r w:rsidR="002C1269">
      <w:tab/>
    </w:r>
    <w:sdt>
      <w:sdtPr>
        <w:id w:val="956454276"/>
        <w:docPartObj>
          <w:docPartGallery w:val="Page Numbers (Top of Page)"/>
          <w:docPartUnique/>
        </w:docPartObj>
      </w:sdtPr>
      <w:sdtEndPr>
        <w:rPr>
          <w:noProof/>
        </w:rPr>
      </w:sdtEndPr>
      <w:sdtContent>
        <w:r w:rsidR="002C1269">
          <w:fldChar w:fldCharType="begin"/>
        </w:r>
        <w:r w:rsidR="002C1269">
          <w:instrText xml:space="preserve"> PAGE   \* MERGEFORMAT </w:instrText>
        </w:r>
        <w:r w:rsidR="002C1269">
          <w:fldChar w:fldCharType="separate"/>
        </w:r>
        <w:r w:rsidR="00D768FD">
          <w:rPr>
            <w:noProof/>
          </w:rPr>
          <w:t>6</w:t>
        </w:r>
        <w:r w:rsidR="002C1269">
          <w:rPr>
            <w:noProof/>
          </w:rPr>
          <w:fldChar w:fldCharType="end"/>
        </w:r>
      </w:sdtContent>
    </w:sdt>
  </w:p>
  <w:p w:rsidR="002C1269" w:rsidRDefault="002C12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269" w:rsidRDefault="00AE50F1">
    <w:pPr>
      <w:pStyle w:val="Header"/>
      <w:jc w:val="right"/>
    </w:pPr>
    <w:r>
      <w:t>Running Head: LAW</w:t>
    </w:r>
    <w:r w:rsidR="002C1269">
      <w:tab/>
    </w:r>
    <w:r w:rsidR="002C1269">
      <w:tab/>
    </w:r>
    <w:sdt>
      <w:sdtPr>
        <w:id w:val="1565147671"/>
        <w:docPartObj>
          <w:docPartGallery w:val="Page Numbers (Top of Page)"/>
          <w:docPartUnique/>
        </w:docPartObj>
      </w:sdtPr>
      <w:sdtEndPr>
        <w:rPr>
          <w:noProof/>
        </w:rPr>
      </w:sdtEndPr>
      <w:sdtContent>
        <w:r w:rsidR="002C1269">
          <w:fldChar w:fldCharType="begin"/>
        </w:r>
        <w:r w:rsidR="002C1269">
          <w:instrText xml:space="preserve"> PAGE   \* MERGEFORMAT </w:instrText>
        </w:r>
        <w:r w:rsidR="002C1269">
          <w:fldChar w:fldCharType="separate"/>
        </w:r>
        <w:r w:rsidR="00D768FD">
          <w:rPr>
            <w:noProof/>
          </w:rPr>
          <w:t>1</w:t>
        </w:r>
        <w:r w:rsidR="002C1269">
          <w:rPr>
            <w:noProof/>
          </w:rPr>
          <w:fldChar w:fldCharType="end"/>
        </w:r>
      </w:sdtContent>
    </w:sdt>
  </w:p>
  <w:p w:rsidR="002C1269" w:rsidRDefault="002C1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823"/>
    <w:rsid w:val="001D77B3"/>
    <w:rsid w:val="002C1269"/>
    <w:rsid w:val="002E0894"/>
    <w:rsid w:val="003E0643"/>
    <w:rsid w:val="003E7494"/>
    <w:rsid w:val="004C7E92"/>
    <w:rsid w:val="004F28ED"/>
    <w:rsid w:val="00550823"/>
    <w:rsid w:val="006A6057"/>
    <w:rsid w:val="00705095"/>
    <w:rsid w:val="00A2076E"/>
    <w:rsid w:val="00AE50F1"/>
    <w:rsid w:val="00C11EE8"/>
    <w:rsid w:val="00C76399"/>
    <w:rsid w:val="00D768FD"/>
    <w:rsid w:val="00E0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269"/>
  </w:style>
  <w:style w:type="paragraph" w:styleId="Footer">
    <w:name w:val="footer"/>
    <w:basedOn w:val="Normal"/>
    <w:link w:val="FooterChar"/>
    <w:uiPriority w:val="99"/>
    <w:unhideWhenUsed/>
    <w:rsid w:val="002C1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2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269"/>
  </w:style>
  <w:style w:type="paragraph" w:styleId="Footer">
    <w:name w:val="footer"/>
    <w:basedOn w:val="Normal"/>
    <w:link w:val="FooterChar"/>
    <w:uiPriority w:val="99"/>
    <w:unhideWhenUsed/>
    <w:rsid w:val="002C1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2019-10-08T18:33:00Z</dcterms:created>
  <dcterms:modified xsi:type="dcterms:W3CDTF">2019-10-08T18:33:00Z</dcterms:modified>
</cp:coreProperties>
</file>